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F" w:rsidRPr="004C4D5F" w:rsidRDefault="004C4D5F" w:rsidP="004C4D5F">
      <w:pPr>
        <w:keepNext/>
        <w:spacing w:before="240" w:after="60" w:line="240" w:lineRule="auto"/>
        <w:jc w:val="center"/>
        <w:outlineLvl w:val="0"/>
        <w:rPr>
          <w:rFonts w:ascii="Times-NewRoman" w:eastAsia="Times New Roman" w:hAnsi="Times-New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4C4D5F">
        <w:rPr>
          <w:rFonts w:ascii="Times-NewRoman" w:eastAsia="Times New Roman" w:hAnsi="Times-NewRoman" w:cs="Times New Roman"/>
          <w:b/>
          <w:bCs/>
          <w:color w:val="000000"/>
          <w:kern w:val="36"/>
          <w:sz w:val="48"/>
          <w:szCs w:val="48"/>
          <w:lang w:eastAsia="hr-HR"/>
        </w:rPr>
        <w:t>MINISTARSTVO GOSPODARSTVA, RADA I PODUZETNIŠTVA</w:t>
      </w:r>
    </w:p>
    <w:p w:rsidR="004C4D5F" w:rsidRPr="004C4D5F" w:rsidRDefault="004C4D5F" w:rsidP="004C4D5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248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58. stavak 2. Zakona o obrtu, (»Narodne novine«, br. 49/03 – pročišćeni tekst), ministar za gospodarstvo, rad i poduzetništvo, nakon prethodno pribavljena mišljenja Hrvatske obrtničke komore, donosi</w:t>
      </w:r>
    </w:p>
    <w:p w:rsidR="004C4D5F" w:rsidRPr="004C4D5F" w:rsidRDefault="004C4D5F" w:rsidP="004C4D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PROGRAM MAJSTORSKOG ISPITA</w:t>
      </w:r>
    </w:p>
    <w:p w:rsidR="004C4D5F" w:rsidRPr="004C4D5F" w:rsidRDefault="004C4D5F" w:rsidP="004C4D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 ZVANJE MAJSTOR AUTOSERVISER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Majstorski ispit sastoji se od zajedničkog dijela koji obuhvaća potrebita znanja, nužna za bavljenje obrtom i poduzetništvom te posebnog dijela koji se odnosi na svako pojedino zanimanje.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zajedničkom dijelu ispita, ispitna pitanja postavljaju se iz sljedećih ispitnih područja: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gospodarstvo i pravni propisi,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osnove podučavanja naučnika.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Područje gospodarstva</w:t>
      </w: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obuhvaća sljedeće programske cjeline: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 </w:t>
      </w:r>
    </w:p>
    <w:tbl>
      <w:tblPr>
        <w:tblW w:w="9383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2666"/>
        <w:gridCol w:w="311"/>
        <w:gridCol w:w="3380"/>
        <w:gridCol w:w="2574"/>
        <w:gridCol w:w="141"/>
        <w:gridCol w:w="311"/>
      </w:tblGrid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i/>
                <w:iCs/>
                <w:color w:val="000000"/>
                <w:lang w:eastAsia="hr-HR"/>
              </w:rPr>
              <w:t>Vođenje poslovanja</w:t>
            </w:r>
          </w:p>
        </w:tc>
        <w:tc>
          <w:tcPr>
            <w:tcW w:w="36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Organizacija poslovanja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obrt, trgovačko društvo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Od ideje do poslovnog plana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ind w:left="396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lang w:eastAsia="hr-HR"/>
              </w:rPr>
              <w:t xml:space="preserve"> 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Poslovni plan kao poduzetničko oruđe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sredstva za nabavu dugotrajne imovine, obrtna sredstva i investicije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Komuniciranje s djelatnicima i strankama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značenje komuniciranja, vrste komunikacija, etika poslovnog komuniciranja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Metode rukovođenja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stilovi i metode rukovođenja, </w:t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teh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softHyphen/>
              <w:t>ni</w:t>
            </w: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softHyphen/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kemotiviranja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, tehnike rješavanja konflikata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Uloga računala u poslovanju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osnovna znanja informatike, </w:t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funk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softHyphen/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cije</w:t>
            </w:r>
            <w:proofErr w:type="spellEnd"/>
            <w:r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 xml:space="preserve"> </w:t>
            </w: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računala u poslovanju obrta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i/>
                <w:iCs/>
                <w:color w:val="000000"/>
                <w:lang w:eastAsia="hr-HR"/>
              </w:rPr>
              <w:t>Osnove marketinga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ind w:left="396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Značenje prodaje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ind w:left="396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60"/>
        </w:trPr>
        <w:tc>
          <w:tcPr>
            <w:tcW w:w="29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Tržište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396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novi trendovi na području marketinga, tržišna strategija, metode prodaje i komunikacije, poznavanje konkurencije, istraživanje tržišta</w:t>
            </w:r>
          </w:p>
        </w:tc>
      </w:tr>
      <w:tr w:rsidR="004C4D5F" w:rsidRPr="004C4D5F" w:rsidTr="004C4D5F">
        <w:trPr>
          <w:gridAfter w:val="1"/>
          <w:wAfter w:w="311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Troškovi i kalkulacije</w:t>
            </w:r>
          </w:p>
        </w:tc>
        <w:tc>
          <w:tcPr>
            <w:tcW w:w="64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679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vrste troškova, kalkulacija cijene proizvoda i usluga, pokazatelji poslovanja</w:t>
            </w:r>
          </w:p>
        </w:tc>
      </w:tr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63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i/>
                <w:iCs/>
                <w:color w:val="000000"/>
                <w:lang w:eastAsia="hr-HR"/>
              </w:rPr>
              <w:t>Financijsko-ekonomsko područje</w:t>
            </w:r>
          </w:p>
        </w:tc>
      </w:tr>
      <w:tr w:rsidR="004C4D5F" w:rsidRPr="004C4D5F" w:rsidTr="004C4D5F">
        <w:trPr>
          <w:gridAfter w:val="2"/>
          <w:wAfter w:w="452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lastRenderedPageBreak/>
              <w:t>Porezi</w:t>
            </w:r>
          </w:p>
        </w:tc>
        <w:tc>
          <w:tcPr>
            <w:tcW w:w="626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679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porezni sustav, vrste poreza, porezno zakonodavstvo</w:t>
            </w:r>
          </w:p>
        </w:tc>
      </w:tr>
      <w:tr w:rsidR="004C4D5F" w:rsidRPr="004C4D5F" w:rsidTr="004C4D5F">
        <w:trPr>
          <w:gridAfter w:val="2"/>
          <w:wAfter w:w="452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Vođenje poslovnih knjiga</w:t>
            </w:r>
          </w:p>
        </w:tc>
        <w:tc>
          <w:tcPr>
            <w:tcW w:w="626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gridAfter w:val="2"/>
          <w:wAfter w:w="452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Platni promet</w:t>
            </w:r>
          </w:p>
        </w:tc>
        <w:tc>
          <w:tcPr>
            <w:tcW w:w="626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679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način plaćanja, način osiguranja naplate i potraživanja</w:t>
            </w:r>
          </w:p>
        </w:tc>
      </w:tr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i/>
                <w:iCs/>
                <w:color w:val="000000"/>
                <w:lang w:eastAsia="hr-HR"/>
              </w:rPr>
              <w:t>Zaštita okoliša</w:t>
            </w:r>
          </w:p>
        </w:tc>
        <w:tc>
          <w:tcPr>
            <w:tcW w:w="36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2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Etika i pravo okoliša</w:t>
            </w:r>
          </w:p>
        </w:tc>
        <w:tc>
          <w:tcPr>
            <w:tcW w:w="36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63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Pravno uređenje zaštite okoliša u Hrvatskoj</w:t>
            </w:r>
          </w:p>
        </w:tc>
      </w:tr>
      <w:tr w:rsidR="004C4D5F" w:rsidRPr="004C4D5F" w:rsidTr="004C4D5F">
        <w:trPr>
          <w:gridAfter w:val="3"/>
          <w:wAfter w:w="3026" w:type="dxa"/>
          <w:trHeight w:val="60"/>
        </w:trPr>
        <w:tc>
          <w:tcPr>
            <w:tcW w:w="63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Suvremene tehnologije zaštite okoliša</w:t>
            </w:r>
          </w:p>
        </w:tc>
      </w:tr>
    </w:tbl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Područje pravnih propisa</w:t>
      </w: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obuhvaća sljedeće programske cjeline: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tbl>
      <w:tblPr>
        <w:tblW w:w="9214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2776"/>
        <w:gridCol w:w="6438"/>
      </w:tblGrid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Ustrojstvo državne vlasti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državna uprava, lokalna samouprava i uprava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Gospodarsko pravo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ind w:left="711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Zakon o obrtu i zakonski uvjeti za obavljanje obrta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pojam obrta i obrtnika, uvjeti za obavljanje, vrste obrta, upis obrta u obrtni registar, poslovanje i prestanak obrta, trgovačka društva i obavljanje obrta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Organiziranost obrta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komorski sustav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Zakon o radu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osnovni propisi o: zasnivanju i prestanku radnog odnosa, radnom vremenu radnika, odmorima i dopustima, obrazovanju i osposobljavanju za rad, plaći radnika, zdravstvenom i mirovinskom osiguranju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 w:cs="Times New Roman"/>
                <w:color w:val="000000"/>
                <w:spacing w:val="-4"/>
                <w:lang w:eastAsia="hr-HR"/>
              </w:rPr>
              <w:t>Z</w:t>
            </w:r>
            <w:r w:rsidRPr="004C4D5F">
              <w:rPr>
                <w:rFonts w:ascii="Minion Pro Cond" w:eastAsia="Times New Roman" w:hAnsi="Minion Pro Cond" w:cs="Times New Roman"/>
                <w:color w:val="000000"/>
                <w:spacing w:val="-4"/>
                <w:lang w:eastAsia="hr-HR"/>
              </w:rPr>
              <w:t>akonodavstvo vezano uz obra</w:t>
            </w:r>
            <w:r w:rsidRPr="004C4D5F">
              <w:rPr>
                <w:rFonts w:ascii="Minion Pro Cond" w:eastAsia="Times New Roman" w:hAnsi="Minion Pro Cond" w:cs="Times New Roman"/>
                <w:color w:val="000000"/>
                <w:spacing w:val="-4"/>
                <w:lang w:eastAsia="hr-HR"/>
              </w:rPr>
              <w:softHyphen/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spacing w:val="-4"/>
                <w:lang w:eastAsia="hr-HR"/>
              </w:rPr>
              <w:t>zovanje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spacing w:val="-4"/>
                <w:lang w:eastAsia="hr-HR"/>
              </w:rPr>
              <w:t> naučnika i majstora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Zapošljavanje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Carinski propisi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Pravni subjekti, pravna i poslovna sposobnost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fizičke i pravne osobe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Trgovačka društva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trgovac pojedinac, društva osoba i društva kapitala, stečajni postupak, likvidacija i ovršni postupak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Nasljedno pravo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ind w:left="711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Zemljišne knjige, posjed i vlasništvo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59" w:lineRule="atLeast"/>
              <w:ind w:left="711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59"/>
        </w:trPr>
        <w:tc>
          <w:tcPr>
            <w:tcW w:w="277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Zaštita na radu</w:t>
            </w:r>
          </w:p>
        </w:tc>
        <w:tc>
          <w:tcPr>
            <w:tcW w:w="64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59" w:lineRule="atLeast"/>
              <w:ind w:left="711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zaštita na radu, zaštita od požara i zdravstvena zaštita</w:t>
            </w:r>
          </w:p>
        </w:tc>
      </w:tr>
    </w:tbl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Područje osnova podučavanja naučnika</w:t>
      </w: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obuhvaća sljedeće programske cjeline: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 </w:t>
      </w:r>
    </w:p>
    <w:tbl>
      <w:tblPr>
        <w:tblW w:w="9214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2922"/>
        <w:gridCol w:w="6292"/>
      </w:tblGrid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Obrazovni sustav Republike Hrvatske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Osnovna pitanja stručnog obrazovanja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struktura obrazovanja, značaj, </w:t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rav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softHyphen/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nopravnost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 šansi, mobilnost, vertikalna i horizontalna prohodnost, veza obrazovanja i tržišta rada i značenje strukovnog obrazovanja za pojedinca i društvo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Jedinstveni model obrazovanja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zadaće škole, zadaće obrtničkih radionica, suradnja različitih mjesta za realizaciju prakse, polazne točke za osiguranje kvalitete obrazovanja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Izobrazba u obrtničkoj radionici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podučavanje, odgajanje, vrednovanje, nadzor, savjetovanje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Planiranje i provođenje naukovanja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ind w:left="565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Pedagoška osnova obrazovanja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proces učenja, vrste učenja, nastavne situacije i tipične teškoće u učenju, motivacija i pomoć u učenju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Zadaće majstora – stručnog učitelja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poduka u radnoj sredini putem naloga, provjera uspjeha naukovanja, pismena provjera, sustav ocjenjivanja, mapa praktične nastave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Mladi u obrazovanju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pubertet, adolescencija, odraslost,</w:t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habitualne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 osobine, socijalno porijeklo, okruženje, prethodno obrazovanje, pozitivno stajalište prema mladima, prepoznavanje teškoća uvjetovano razvojem, motiviranje i prenošenje odgovornosti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Socijalno komunikativne osnove vođenja ljudi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verbalna i neverbalna komunikacija, prepoznavanje konflikata i pravila za njihovo svladavanje, socijalno ponašanje i autoritativno djelovanje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Zakonska regulativa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Zakon o obrtu, nastavni planovi i programi, odredbe Pravilnika o vezanim i povlaštenim obrtima i načinu izdavanja povlastica, odredbe</w:t>
            </w:r>
          </w:p>
        </w:tc>
      </w:tr>
      <w:tr w:rsidR="004C4D5F" w:rsidRPr="004C4D5F" w:rsidTr="004C4D5F">
        <w:trPr>
          <w:trHeight w:val="60"/>
        </w:trPr>
        <w:tc>
          <w:tcPr>
            <w:tcW w:w="29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0" w:line="60" w:lineRule="atLeast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lang w:eastAsia="hr-HR"/>
              </w:rPr>
              <w:t> </w:t>
            </w:r>
          </w:p>
        </w:tc>
        <w:tc>
          <w:tcPr>
            <w:tcW w:w="62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4D5F" w:rsidRPr="004C4D5F" w:rsidRDefault="004C4D5F" w:rsidP="004C4D5F">
            <w:pPr>
              <w:spacing w:after="43" w:line="60" w:lineRule="atLeast"/>
              <w:ind w:left="565"/>
              <w:jc w:val="both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Pravilnika o postupku i načinu izdavanja dozvola (licenca) te uvjeta za izvođenje praktičnog dijela naukovanja, odredbe Pravilnika o načinu ostvarivanja programa naukovanja i stručnog osposobljavanja za vezane obrte te o pravima, obvezama, praćenju, vrednovanju i ocjenjivanju naučnika, odredbe Pravilnika o postupku i načinu polaganja </w:t>
            </w:r>
            <w:proofErr w:type="spellStart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pomoćničkog</w:t>
            </w:r>
            <w:proofErr w:type="spellEnd"/>
            <w:r w:rsidRPr="004C4D5F">
              <w:rPr>
                <w:rFonts w:ascii="Minion Pro Cond" w:eastAsia="Times New Roman" w:hAnsi="Minion Pro Cond" w:cs="Times New Roman"/>
                <w:color w:val="000000"/>
                <w:lang w:eastAsia="hr-HR"/>
              </w:rPr>
              <w:t> ispita i odredbe Pravilnika o postupku i načinu polaganja majstorskog ispita te ispita o stručnoj osposobljenosti</w:t>
            </w:r>
          </w:p>
        </w:tc>
      </w:tr>
    </w:tbl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Okvirni sadržaji programskih cjelina, navedeni u poglavljima III., IV. i V., osnova su za oblikovanje ispitnih pitanja na majstorskim ispitima.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ispita obuhvaća praktična i teorijska stručna znanja, nužna za samostalno obavljanje obrta u zvanju majstor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autoserviser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iz sljedećih područja rada: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RADA</w:t>
      </w:r>
    </w:p>
    <w:p w:rsidR="004C4D5F" w:rsidRPr="004C4D5F" w:rsidRDefault="004C4D5F" w:rsidP="004C4D5F">
      <w:pPr>
        <w:pStyle w:val="Odlomakpopisa"/>
        <w:spacing w:after="0" w:line="240" w:lineRule="auto"/>
        <w:ind w:left="108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Kontrola i održavanje motora, ovjesa, kočnica, upravljačkog sklopa, prijenosa snage i električnih uređaja na osobnim i teretnim vozilima, autobusima, motorkotačima i prikolicama.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Utvrđivanje i uklanjanje neispravnosti elemenata ovjesa, kočnica, upravljanja, prijenosa snage, te električnih i elektronskih uređaja i sklopova na vozilu.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Ispitivanje, podešavanje i popravak motora s unutarnjim izgaranjem.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Opremanje vozila dodatnom opremom i priborom.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Djelomično održavanje karoserija, okvira i zaštita od korozije.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Pružanje pomoći na cesti.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Priprema vozila za tehnički pregled.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SADRŽAJ ISPITA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1. Praktični dio ispita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provođenju praktičnog dijela ispita ocjenjuju se znanja i vještine iz područja rada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autoservisera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Zadaju se, u skladu s očekivanim prijeko potrebnim znanjima i vještinama, četiri zadatka (radne probe).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Vrste zadataka su: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ispitivanje tehničke ispravnosti vozila prema kontrolnoj listi, te uklanjanje/komentiranje uočenih neispravnosti;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ispitivanje motora uz pomoć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motortestera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analizatora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ispuš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nih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plinova, podešavanje/uklanjanje/komentiranje neispravnosti u radu motora;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generalno uređenje motora; ispitivanje, (de)montaža, izmjena dijelova, kontrola;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generalno uređenje kočnog sustava: ispitivanje, (de)montaža, podešavanje/izmjena dijelova, kontrola;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ispitivanje ABS-a, (ASR-a, ESP-a);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generalno uređenje ovjesa; ispitivanje, (de)montaža, kontrola;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generalno uređenje jednog od dijelova transmisije: ispitivanje, (de)montaža, izmjena/popravak, kontrola;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generalno uređenje upravljačkog sustava vozila: ispitivanje, (de)montaža, zamjena/popravak dijelova, kontrola;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ispitivanje i popravak elektropokretača, generatora, brisača i drugih električnih uređaja;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ispitivanje, popravak, punjenje/obnavljanje i dezinfekcija klima uređaja;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ugradnja CD/radio uređaja i drugih komunikacijskih sustava.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devet zadataka, obvezno se kao dio ispita daju zadaci pod rednim brojem 1. i 2.</w:t>
      </w:r>
    </w:p>
    <w:p w:rsidR="002106F7" w:rsidRDefault="004C4D5F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Kontrolnu listu za 1. zadatak sastavlja ispitna komisija, a mora obuhvatiti: pregled signalizacije vozila, stanje akumulatora, antifriza, motornog ulja, brisača, guma, kočnica i kontrolne lampice.</w:t>
      </w:r>
    </w:p>
    <w:p w:rsidR="002106F7" w:rsidRDefault="002106F7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2106F7" w:rsidRDefault="002106F7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2106F7" w:rsidRDefault="002106F7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>2. Teorijska znanja nužna za obavljanje poslova majstora </w:t>
      </w:r>
      <w:proofErr w:type="spellStart"/>
      <w:r w:rsidRPr="004C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autoservisera</w:t>
      </w:r>
      <w:proofErr w:type="spellEnd"/>
    </w:p>
    <w:p w:rsid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2.1. Materijali</w:t>
      </w:r>
    </w:p>
    <w:p w:rsidR="002106F7" w:rsidRPr="004C4D5F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goriva i maziva za vozila, svojstva, rukovanje, izbor;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tekućine i plinovi za vozilo, svojstva, rukovanje, izbor;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sredstva za čišćenje, zaštitu od korozije, brtvljenje, kontakt, lijepljenje, lemljenje i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kontaktni i izolacijski materijali;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osnovna svojstva tehničkih materijala (čvrstoća, tvrdoća, otpornost protiv korozije, otpornost na toplinsko opterećenje, el. vodljivost);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ispitivanja i mjerenja (dužina, promjera, tlaka, gustoće, protoka, tvrdoće, el. otpora, napona);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osnovni proračuni sile, tlaka, broja okretaja, brzine, snage, protoka, pada napona, otpora vodiča;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osnovni zahtjevi na mjere i oblike pojedinih dijelova;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čitanje i skiciranje tehničko-tehnološke dokumentacije, kataloga, uputa, električnih/pneumatskih/hidrauličkih shema.</w:t>
      </w:r>
    </w:p>
    <w:p w:rsid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2.2. Tehnologija održavanja vozila</w:t>
      </w:r>
    </w:p>
    <w:p w:rsidR="002106F7" w:rsidRPr="004C4D5F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konstrukcija i princip rada motora s unutarnjim izgaranjem;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klipni i razvodni mehanizam, blok motora, dijelovi, održavanje, kontrola, popravak;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priprema i paljenje gorive smjese, vrste, dijagnosticiranje, uklanjanje nedostataka;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fizikalne i kemijske osnove izgaranja, analiza sastava ispušnih plinova;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ispušni sustav, uređaj za pročišćavanje ispušnih plinova, kontrola, uklanjanje nepravilnosti u radu;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sustavi hlađenja i podmazivanja motora, održavanje, uklanjanje nedostataka;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vrste i elementi prijenosa snage s motora na pogonske kotače, održavanje, oštećenja i njihovo uklanjanje;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vrste kočnih sustava, održavanje, nepravilnosti u radu i njihovo uklanjanje;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upravljački mehanizam, održavanje, nepravilnosti u radu i njihovo uklanjanje;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elementi ovjesa, kontrola, uklanjanje nepravilnosti u radu;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akumulator, kapacitet, proces punjenja i pražnjenja, ispitivanje;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generator električne struje, izvedbe, princip rada, ispitivanje, popravak;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 elektropokretač, princip rada, ispitivanje, popravak;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osvjetljenje i signalizacija, propisi, instalacije, nepravilnosti u radu i njihovo uklanjanje;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ostali električni uređaji na vozilu, ispitivanje, uklanjanje neispravnosti;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klima-uređaj, princip rada, punjenje, obnavljanje, dezinfekcija i kontrola sustava.</w:t>
      </w:r>
    </w:p>
    <w:p w:rsid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2.3. Servisna oprema</w:t>
      </w:r>
    </w:p>
    <w:p w:rsidR="002106F7" w:rsidRPr="004C4D5F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korištenje i tekuće održavanje hidrauličke, pneumatske i mehaničke opreme u servisu;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korištenje i održavanje uređaja za ispitivanje električnih i elektroničkih komponenata vozila, ispušnih plinova, kompresije;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uređaji za opskrbu radionica radnom energijom;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zaštitne mjere pri radu s pojedinim strojevima i uređajima, propisi o atestima pojedinih uređaja.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2.4. Organizacija rada i poslovanja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uporaba računala i programa za </w:t>
      </w: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autotehnike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(dijelovi, sheme, usporedne vrijednosti, postupci i norme);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uporaba računala i programa za vođenje poslovanja i poslovno komuniciranje (računi, skladište, baze podataka, e-mail i dr.);</w:t>
      </w:r>
    </w:p>
    <w:p w:rsidR="002106F7" w:rsidRDefault="004C4D5F" w:rsidP="002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obračun radnog naloga, izrada predračuna.</w:t>
      </w:r>
    </w:p>
    <w:p w:rsidR="002106F7" w:rsidRDefault="002106F7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2106F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2.5. Zaštita na radu i zaštita okoliša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propisi o zaštiti na radu: zaštita od štetnih tvari, mehaničkih opasnosti, zaštita od požara, od električne struje i pružanje prve pomoći;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propisi i postupci pri skladištenju, rukovanju i odlaganju štetnih tvari.</w:t>
      </w: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Pr="004C4D5F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311-01/05-01/352</w:t>
      </w:r>
    </w:p>
    <w:p w:rsidR="004C4D5F" w:rsidRPr="004C4D5F" w:rsidRDefault="004C4D5F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proofErr w:type="spellStart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526-12-06-4</w:t>
      </w:r>
    </w:p>
    <w:p w:rsidR="004C4D5F" w:rsidRDefault="004C4D5F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12. siječnja 2006.</w:t>
      </w: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Default="002106F7" w:rsidP="004C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06F7" w:rsidRPr="004C4D5F" w:rsidRDefault="002106F7" w:rsidP="004C4D5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4C4D5F" w:rsidRPr="004C4D5F" w:rsidRDefault="004C4D5F" w:rsidP="004C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Ministar</w:t>
      </w:r>
    </w:p>
    <w:p w:rsidR="004C4D5F" w:rsidRPr="004C4D5F" w:rsidRDefault="004C4D5F" w:rsidP="004C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4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Branko</w:t>
      </w:r>
      <w:r w:rsidRPr="004C4D5F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 Vukelić</w:t>
      </w:r>
      <w:r w:rsidRPr="004C4D5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</w:t>
      </w:r>
    </w:p>
    <w:p w:rsidR="004C4D5F" w:rsidRPr="004C4D5F" w:rsidRDefault="004C4D5F" w:rsidP="004C4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C4D5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B4742E" w:rsidRDefault="00B4742E"/>
    <w:sectPr w:rsidR="00B4742E" w:rsidSect="002106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634"/>
    <w:multiLevelType w:val="hybridMultilevel"/>
    <w:tmpl w:val="87987B54"/>
    <w:lvl w:ilvl="0" w:tplc="9B580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D5F"/>
    <w:rsid w:val="00135442"/>
    <w:rsid w:val="002106F7"/>
    <w:rsid w:val="004C4D5F"/>
    <w:rsid w:val="00571164"/>
    <w:rsid w:val="00B4742E"/>
    <w:rsid w:val="00BE47F6"/>
    <w:rsid w:val="00D4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2E"/>
  </w:style>
  <w:style w:type="paragraph" w:styleId="Naslov1">
    <w:name w:val="heading 1"/>
    <w:basedOn w:val="Normal"/>
    <w:link w:val="Naslov1Char"/>
    <w:uiPriority w:val="9"/>
    <w:qFormat/>
    <w:rsid w:val="004C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C4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C4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4D5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C4D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C4D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C4D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C4D5F"/>
  </w:style>
  <w:style w:type="character" w:customStyle="1" w:styleId="spelle">
    <w:name w:val="spelle"/>
    <w:basedOn w:val="Zadanifontodlomka"/>
    <w:rsid w:val="004C4D5F"/>
  </w:style>
  <w:style w:type="paragraph" w:customStyle="1" w:styleId="t-98">
    <w:name w:val="t-98"/>
    <w:basedOn w:val="Normal"/>
    <w:rsid w:val="004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paragraphstyle">
    <w:name w:val="noparagraphstyle"/>
    <w:basedOn w:val="Normal"/>
    <w:rsid w:val="004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4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2014-02-06T10:01:00Z</dcterms:created>
  <dcterms:modified xsi:type="dcterms:W3CDTF">2014-02-06T10:01:00Z</dcterms:modified>
</cp:coreProperties>
</file>